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52"/>
      <w:bookmarkStart w:id="1" w:name="_Toc535490736"/>
      <w:r w:rsidRPr="00CD06E7">
        <w:t>12</w:t>
      </w:r>
      <w:r w:rsidRPr="00CD06E7">
        <w:rPr>
          <w:rFonts w:hint="eastAsia"/>
        </w:rPr>
        <w:t>.</w:t>
      </w:r>
      <w:r w:rsidRPr="00CD06E7">
        <w:t>16</w:t>
      </w:r>
      <w:r w:rsidRPr="00CD06E7">
        <w:rPr>
          <w:rFonts w:hint="eastAsia"/>
        </w:rPr>
        <w:t xml:space="preserve">  </w:t>
      </w:r>
      <w:r w:rsidRPr="00CD06E7">
        <w:rPr>
          <w:rFonts w:hint="eastAsia"/>
        </w:rPr>
        <w:t>因公出国</w:t>
      </w:r>
      <w:r w:rsidR="000663FF">
        <w:rPr>
          <w:rFonts w:hint="eastAsia"/>
        </w:rPr>
        <w:t>（境）经费报销</w:t>
      </w:r>
      <w:bookmarkStart w:id="2" w:name="_GoBack"/>
      <w:bookmarkEnd w:id="2"/>
      <w:r w:rsidRPr="00CD06E7">
        <w:rPr>
          <w:rFonts w:hint="eastAsia"/>
        </w:rPr>
        <w:t>流程图及说明</w:t>
      </w:r>
      <w:bookmarkEnd w:id="0"/>
      <w:bookmarkEnd w:id="1"/>
    </w:p>
    <w:p w:rsidR="00EC7BE5" w:rsidRPr="00CD06E7" w:rsidRDefault="00EC7BE5" w:rsidP="00EC7BE5">
      <w:pPr>
        <w:pStyle w:val="3"/>
      </w:pPr>
      <w:bookmarkStart w:id="3" w:name="_Toc532737053"/>
      <w:bookmarkStart w:id="4" w:name="_Toc535490737"/>
      <w:r w:rsidRPr="00CD06E7">
        <w:rPr>
          <w:rFonts w:hint="eastAsia"/>
        </w:rPr>
        <w:t>1</w:t>
      </w:r>
      <w:r w:rsidRPr="00CD06E7">
        <w:t xml:space="preserve">2.16.1  </w:t>
      </w:r>
      <w:r w:rsidRPr="00CD06E7">
        <w:rPr>
          <w:rFonts w:hint="eastAsia"/>
        </w:rPr>
        <w:t>流程图</w:t>
      </w:r>
      <w:bookmarkEnd w:id="3"/>
      <w:bookmarkEnd w:id="4"/>
    </w:p>
    <w:p w:rsidR="00EC7BE5" w:rsidRPr="00CD06E7" w:rsidRDefault="00EC7BE5" w:rsidP="00EC7BE5">
      <w:pPr>
        <w:ind w:firstLineChars="0" w:firstLine="0"/>
        <w:rPr>
          <w:rFonts w:ascii="仿宋" w:hAnsi="仿宋"/>
          <w:szCs w:val="28"/>
        </w:rPr>
      </w:pPr>
      <w:r w:rsidRPr="00CD06E7">
        <w:object w:dxaOrig="12031" w:dyaOrig="1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4.75pt;height:561pt" o:ole="">
            <v:imagedata r:id="rId6" o:title=""/>
          </v:shape>
          <o:OLEObject Type="Embed" ProgID="Visio.Drawing.15" ShapeID="_x0000_i1033" DrawAspect="Content" ObjectID="_1621164934" r:id="rId7"/>
        </w:object>
      </w:r>
    </w:p>
    <w:p w:rsidR="00EC7BE5" w:rsidRPr="00CD06E7" w:rsidRDefault="00EC7BE5" w:rsidP="00EC7BE5">
      <w:pPr>
        <w:pStyle w:val="3"/>
      </w:pPr>
      <w:bookmarkStart w:id="5" w:name="_Toc532737054"/>
      <w:bookmarkStart w:id="6" w:name="_Toc535490738"/>
      <w:r w:rsidRPr="00CD06E7">
        <w:rPr>
          <w:rFonts w:hint="eastAsia"/>
        </w:rPr>
        <w:lastRenderedPageBreak/>
        <w:t>1</w:t>
      </w:r>
      <w:r w:rsidRPr="00CD06E7">
        <w:t xml:space="preserve">2.16.2  </w:t>
      </w:r>
      <w:r w:rsidRPr="00CD06E7">
        <w:rPr>
          <w:rFonts w:hint="eastAsia"/>
        </w:rPr>
        <w:t>流程描述</w:t>
      </w:r>
      <w:bookmarkEnd w:id="5"/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39"/>
        <w:gridCol w:w="5561"/>
      </w:tblGrid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节点</w:t>
            </w:r>
          </w:p>
        </w:tc>
        <w:tc>
          <w:tcPr>
            <w:tcW w:w="153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556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工作内容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</w:t>
            </w:r>
            <w:r w:rsidRPr="00CD06E7">
              <w:t>.1</w:t>
            </w:r>
          </w:p>
        </w:tc>
        <w:tc>
          <w:tcPr>
            <w:tcW w:w="153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556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相关部门（二级学院）根据《江苏信息职业技术学院因公临时出国管理办法(试行)》（苏信院办〔2015〕2号）文件精神，结合实际需求提出报销申请。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</w:t>
            </w:r>
            <w:r w:rsidRPr="00CD06E7">
              <w:t>.2</w:t>
            </w:r>
          </w:p>
        </w:tc>
        <w:tc>
          <w:tcPr>
            <w:tcW w:w="153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556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经办人附上报销依据，如发票（境内、境外）、出国（境）批文、合同等。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</w:p>
        </w:tc>
        <w:tc>
          <w:tcPr>
            <w:tcW w:w="153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556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部门负责人签字审批，并写好项目代码。如果部门负责人为经办人，则由上一级领导签字审批。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</w:t>
            </w:r>
            <w:r w:rsidRPr="00CD06E7">
              <w:t>.2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2.3</w:t>
            </w:r>
          </w:p>
        </w:tc>
        <w:tc>
          <w:tcPr>
            <w:tcW w:w="1539" w:type="dxa"/>
            <w:vAlign w:val="center"/>
          </w:tcPr>
          <w:p w:rsidR="00EC7BE5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>
              <w:t>B</w:t>
            </w:r>
          </w:p>
        </w:tc>
        <w:tc>
          <w:tcPr>
            <w:tcW w:w="556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财务部门审核资料规范、齐全性，如果符合报销要求，则进行审核签字。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</w:t>
            </w:r>
            <w:r w:rsidRPr="00CD06E7">
              <w:t>.4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5</w:t>
            </w:r>
          </w:p>
        </w:tc>
        <w:tc>
          <w:tcPr>
            <w:tcW w:w="153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C</w:t>
            </w:r>
          </w:p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t>D</w:t>
            </w:r>
          </w:p>
        </w:tc>
        <w:tc>
          <w:tcPr>
            <w:tcW w:w="556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分管院领导审批。</w:t>
            </w:r>
          </w:p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院长审批。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</w:t>
            </w:r>
            <w:r w:rsidRPr="00CD06E7">
              <w:t>.6</w:t>
            </w:r>
          </w:p>
        </w:tc>
        <w:tc>
          <w:tcPr>
            <w:tcW w:w="153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556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财务处相关会计根据相关政府会计准则入账，打印记账凭证，整理交由复核会计复审。</w:t>
            </w:r>
          </w:p>
        </w:tc>
      </w:tr>
      <w:tr w:rsidR="00EC7BE5" w:rsidRPr="00CD06E7" w:rsidTr="00BA3A38">
        <w:tc>
          <w:tcPr>
            <w:tcW w:w="1422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</w:t>
            </w:r>
            <w:r w:rsidRPr="00CD06E7">
              <w:t>.7</w:t>
            </w:r>
          </w:p>
        </w:tc>
        <w:tc>
          <w:tcPr>
            <w:tcW w:w="1539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5561" w:type="dxa"/>
            <w:vAlign w:val="center"/>
          </w:tcPr>
          <w:p w:rsidR="00EC7BE5" w:rsidRPr="00CD06E7" w:rsidRDefault="00EC7BE5" w:rsidP="00BA3A38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复核会计审核后，交由出纳会计确认金额、收款方等信息进行支付,或冲抵借款。</w:t>
            </w:r>
          </w:p>
        </w:tc>
      </w:tr>
    </w:tbl>
    <w:p w:rsidR="00EC7BE5" w:rsidRPr="00CD06E7" w:rsidRDefault="00EC7BE5" w:rsidP="00EC7BE5">
      <w:pPr>
        <w:ind w:firstLine="560"/>
      </w:pPr>
    </w:p>
    <w:sectPr w:rsidR="00EC7BE5" w:rsidRPr="00CD06E7" w:rsidSect="002859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6D" w:rsidRDefault="00F5056D" w:rsidP="00F5056D">
      <w:pPr>
        <w:spacing w:line="240" w:lineRule="auto"/>
        <w:ind w:firstLine="560"/>
      </w:pPr>
      <w:r>
        <w:separator/>
      </w:r>
    </w:p>
  </w:endnote>
  <w:endnote w:type="continuationSeparator" w:id="0">
    <w:p w:rsidR="00F5056D" w:rsidRDefault="00F5056D" w:rsidP="00F505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6D" w:rsidRDefault="00F5056D" w:rsidP="00F5056D">
      <w:pPr>
        <w:spacing w:line="240" w:lineRule="auto"/>
        <w:ind w:firstLine="560"/>
      </w:pPr>
      <w:r>
        <w:separator/>
      </w:r>
    </w:p>
  </w:footnote>
  <w:footnote w:type="continuationSeparator" w:id="0">
    <w:p w:rsidR="00F5056D" w:rsidRDefault="00F5056D" w:rsidP="00F5056D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0663FF"/>
    <w:rsid w:val="002859FF"/>
    <w:rsid w:val="00357472"/>
    <w:rsid w:val="004D15EB"/>
    <w:rsid w:val="00C45C87"/>
    <w:rsid w:val="00E27634"/>
    <w:rsid w:val="00EC7BE5"/>
    <w:rsid w:val="00F5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68644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6</cp:revision>
  <dcterms:created xsi:type="dcterms:W3CDTF">2019-06-04T06:47:00Z</dcterms:created>
  <dcterms:modified xsi:type="dcterms:W3CDTF">2019-06-04T06:48:00Z</dcterms:modified>
</cp:coreProperties>
</file>